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24 100 vom 20. Januar 2026</w:t>
      </w:r>
    </w:p>
    <w:p>
      <w:r>
        <w:t>VS Kantonsgericht, 2026-01-20, FR</w:t>
      </w:r>
    </w:p>
    <w:p>
      <w:r>
        <w:rPr>
          <w:b/>
        </w:rPr>
        <w:t xml:space="preserve">Quelle: </w:t>
      </w:r>
      <w:r>
        <w:t>https://mcp.opencaselaw.ch/entscheid/vs_gerichte_S1 24 100</w:t>
      </w:r>
    </w:p>
    <w:p>
      <w:r>
        <w:t>FR: VS_GERICHTE S1 24 100 du 20 janvier 2026</w:t>
      </w:r>
    </w:p>
    <w:p>
      <w:r>
        <w:t>IT: VS_GERICHTE S1 24 100 del 20 gennaio 2026</w:t>
      </w:r>
    </w:p>
    <w:p>
      <w:pPr>
        <w:pStyle w:val="Heading2"/>
      </w:pPr>
      <w:r>
        <w:t>Erwägungen</w:t>
      </w:r>
    </w:p>
    <w:p>
      <w:r>
        <w:rPr>
          <w:b/>
        </w:rPr>
        <w:t>E. 1.1</w:t>
      </w:r>
    </w:p>
    <w:p>
      <w:r>
        <w:t>Selon l'article 1 alinéa 1 LAI, les dispositions de la LPGA s'appliquent à l'AI (art. 1a à 26bis et 28 à 70), à moins que la LAI n'y déroge expressément. Posté le 14 juin 2024, le présent recours à l'encontre de la décision du 17 mai 2024 a été interjeté dans le délai légal de trente jours (art. 60 LPGA) et devant l'instance compétente (art. 56 et 57 LPGA et art. 69 al. 1 let. a LAI ; art. 81a al. 1 LPJA). Il répond par ailleurs aux autres conditions formelles de recevabilité (art. 61 let. b LPGA), de sorte que la Cour doit entrer en matière.</w:t>
      </w:r>
    </w:p>
    <w:p>
      <w:r>
        <w:rPr>
          <w:b/>
        </w:rPr>
        <w:t>E. 1.2</w:t>
      </w:r>
    </w:p>
    <w:p>
      <w:r>
        <w:t>L’article 59 LPGA prévoit que quiconque est touché par la décision ou la décision sur opposition et a un intérêt digne d’être protégé à ce qu’elle soit annulée ou modifiée a qualité pour recourir. Un droit à une rente ayant pris naissance du vivant de l’ayant droit est acquis à son décès par ses héritiers, conformément à l’article 560 alinéa 2 CC. Pour autant qu’ils remplissent les conditions de légitimation de l’article 59 LPGA, ont qualité pour recourir relativement aux intérêts patrimoniaux de la succession non seulement les héritiers ensemble et en commun au sens de l’article 602 alinéa 2 CC, mais également les membres individuels de la communauté héréditaire (BOLLINGER, in : Basler Kommentar, Allgemeiner Teil des Sozialversicherungsrechts [ATSG], 2020, § 21 ad art. 59, p. 798). Un arriéré de prestations d’assurance, pour une période antérieure au décès de l’assuré, tombe dans la masse successorale, y compris une éventuelle rente complémentaire pour conjoint ou une rente pour enfant. Chaque héritier a qualité pour recourir contre une décision relative à ces prestations. Les membres de la communauté héréditaire ne forment pas des consorts nécessaires (MÉTRAL, Commentaire romand, Loi sur la partie générale des assurances sociales, 2025, n. 29 ad art. 59 LPGA).</w:t>
      </w:r>
    </w:p>
    <w:p>
      <w:r>
        <w:t>- 7 - Conformément à l'article 31 alinéa 1 CC, la personnalité finit avec la mort. Au jour du décès, les héritiers acquièrent de plein droit l'universalité de la succession (art. 560 CC). Le droit à une rente de l'assurance-invalidité n'est pas un droit strictement personnel, de sorte qu'il entre dans la succession, dans la mesure où il existe (soit est encore en suspens) au moment du décès. Lorsque les héritiers ont accepté leur qualité d’héritier (art. 566 CC), ils ont, en vertu du principe de la saisine prévu par l'article 560 alinéa 1 CC, acquis de plein droit l'universalité de la succession et sont devenus pleinement titulaires des droits et obligations du défunt, y compris de la prétention à la rente d'invalidité, ainsi que des expectatives de droit (art. 560 al. 2 CC ; ATF 141 V 170 consid. 4.3 ; arrêt du Tribunal fédéral 9C_707/2020 du 11 mai 2021 consid. 2.2 et les références). Au vu de ce qui précède, les héritiers de feu A _________ ont qualité pour recourir, selon l’article 59 LPGA.</w:t>
      </w:r>
    </w:p>
    <w:p>
      <w:r>
        <w:rPr>
          <w:b/>
        </w:rPr>
        <w:t>E. 2</w:t>
      </w:r>
    </w:p>
    <w:p>
      <w:r>
        <w:t>Le litige porte sur le droit de feu l’assuré à une rente d’invalidité à la suite de sa demande tardive du 30 août 2022. Le droit à des mesures d’ordre professionnel échappe naturellement à un transfert à l’hoirie, en tant qu’il s’agit d’un droit personnel du défunt (ATAS/217/2004 du 8 avril 2004 consid. 4). Ce point de la décision devient sans objet, étant précisé que le recourant n’avait pas pris de conclusion spécifique à cet égard.</w:t>
      </w:r>
    </w:p>
    <w:p>
      <w:r>
        <w:rPr>
          <w:b/>
        </w:rPr>
        <w:t>E. 3</w:t>
      </w:r>
    </w:p>
    <w:p>
      <w:r>
        <w:t>La recourante conteste, d’une part, le début de l’incapacité de travail de longue durée de feu A _________, qu’elle fixe à l’année 2012 (consid. 3.1 ci-dessous), et, d’autre part, son statut de personne mixte, déclarant qu’il aurait continué d’exercer une activité lucrative dans la construction à 100 % sans l’atteinte à la santé (consid. 3.2 ci-dessous).</w:t>
      </w:r>
    </w:p>
    <w:p>
      <w:r>
        <w:rPr>
          <w:b/>
        </w:rPr>
        <w:t>E. 3.1.1</w:t>
      </w:r>
    </w:p>
    <w:p>
      <w:r>
        <w:t>L'assuré a droit à une rente s'il a présenté une incapacité de travail (art. 6 LPGA) d’au moins 40 % en moyenne durant une année sans interruption notable et, qu’au terme de cette année, il est invalide à 40 % au moins (art. 28 al. 1 let. b et c LAI). Selon l'article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w:t>
      </w:r>
    </w:p>
    <w:p>
      <w:r>
        <w:t>- 8 - L'incapacité de travail s'apprécie en principe sur la base de données médicales et en fonction de la profession exercée jusqu'alors par l'assuré (art. 6 1ère phr. LPGA ; FRÉSARD/MOSER-SZELESS, L'assurance-accidents obligatoire, in : Soziale Sicherheit, SBVR vol. XIV, 3e éd. 2016, p. 973, n. 212). Pour évaluer la capacité de travail d’un assuré,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132 V 93 consid. 4, 125 V 261 consid. 4). Selon l’article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Le devoir d’instruction subsiste jusqu’à ce que les faits nécessaires à l’examen des prétentions en cause soient suffisamment élucidés (arrêts du Tribunal fédéral 9C_414/2014 du 31 juillet 2014 consid. 3.1.3, 8C_364/2007du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130 III 321 consid. 3.2 et 3.3, 126 V 353 consid. 5b, 125 V 193 consid. 2 et les références). Aussi n’existe-t-il pas, en droit des assurances sociales, un principe selon lequel l’administration ou le juge devrait statuer, dans le doute, en faveur de l’assuré (ATF 126 V 319 consid. 5a ; arrêt du Tribunal fédéral 8C_832/2017 du 13 février 2018 consid. 3.1).</w:t>
      </w:r>
    </w:p>
    <w:p>
      <w:r>
        <w:rPr>
          <w:b/>
        </w:rPr>
        <w:t>E. 3.1.2</w:t>
      </w:r>
    </w:p>
    <w:p>
      <w:r>
        <w:t>En l’occurrence, force est de constater qu’aucune incapacité de travail, qu’elle soit de courte ou de longue durée, n’a été attestée par un médecin avant le 18 mai 2021. La</w:t>
      </w:r>
    </w:p>
    <w:p>
      <w:r>
        <w:t>- 9 - recourante n’a jamais fourni de documents allant dans ce sens, ni même de rapport médical permettant de rendre hautement vraisemblable une incapacité de travail depuis l’année 2012. S’agissant des antécédents médicaux de l’assuré, la lettre de sortie de l’Hôpital de C _________du 21 mai 2021 cite, comme plus ancien problème de santé, une thrombose veineuse du membre inférieur gauche survenue en 2014. Pour sa part, dans son dossier (page 34), le Dr D _________ a fait état d’une gastroscopie pour ulcères gastriques en 2000, qui ne justifie pas une incapacité de travail de longue durée. Il a ensuite mentionné une résection sigmoïdienne et antérieure basse du rectum en 2012 dans un contexte de diverticulite itérative. Il n’a retenu aucune incapacité de travail en lien avec cette intervention. Quoi qu’il en soit, celle-ci n’aurait été que de courte durée vu la nature de la pathologie et de son traitement. Enfin, il a signalé des signes cliniques de thrombose veineuse au mollet gauche en octobre 2014, ce qui correspond aux indications de l’Hôpital de C _________et du Dr E _________. Aucun de ces éléments ne permet de reconnaître, au degré de la vraisemblance prépondérante requis, une incapacité de travail totale de longue durée depuis 2012. Comme l’a expliqué le SMR dans son rapport final du 29 janvier 2024 (page 82), c’est le cumul de pathologies sévères au niveau respiratoire et cardiaque survenues depuis mai 2021, avec en plus l’apparition de complications hémorragiques potentiellement fatales en 2023, qui justifiaient des limitations fonctionnelles significatives et une incapacité totale de travail dans toute activité. C’est dès lors à juste titre que l’intimé a fixé le début de l’incapacité de travail de longue durée au 18 mai 2021 et a examiné quelle aurait été la situation de l’assuré au terme du délai d’attente d’une année, le 18 mai 2022, s’il n’avait pas été atteint dans sa santé et sa capacité de travail.</w:t>
      </w:r>
    </w:p>
    <w:p>
      <w:r>
        <w:rPr>
          <w:b/>
        </w:rPr>
        <w:t>E. 3.2.1</w:t>
      </w:r>
    </w:p>
    <w:p>
      <w:r>
        <w:t>L'évaluation de l'invalidité peut être effectuée selon trois méthodes, entre lesquelles il y a lieu d'opter lors du premier examen du droit d'un assuré à des prestations, de même que lors d'une révision de celui-ci : la méthode générale de la comparaison des revenus pour un assuré exerçant une activité lucrative à temps complet (art. 28a al. 1 LAI en corrélation avec l'art. 16 LPGA ; ATF 130 V 343 consid. 3.4), la méthode spécifique pour un assuré sans activité lucrative (art. 28a al. 2 LAI ; ATF 130 V 97 consid. 3.3.1) et la méthode mixte pour un assuré exerçant une activité lucrative à temps partiel (art. 28a al. 3 LAI ; ATF 137 V 334, 130 V 393 et 125 V 146).</w:t>
      </w:r>
    </w:p>
    <w:p>
      <w:r>
        <w:t>- 10 - Pour déterminer la méthode applicable au cas particulier, il faut non pas, malgré la teneur de l'article 8 alinéa 3 LPGA, chercher à savoir dans quelle mesure l'exercice d'une activité lucrative aurait été exigible de la part de l'assuré, mais se demander ce que l'assuré aurait fait si l'atteinte à la santé n'était pas survenue (ATF 133 V 504 consid. 3.3). Lorsqu'il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Cette évaluation doit également prendre en considération la volonté hypothétique de l'assuré qui, en tant que fait interne, ne peut faire l'objet d'une administration directe de la preuve et doit en règle générale être déduite d'indices extérieurs (arrêt du Tribunal fédéral 9C_64/2012 du 11 juillet 2012 consid. 5.2 in fine et la référence citée). Chez les assurés qui n’exercent que partiellement une activité lucrative et se consacrent pour l’autre part à d’autres activités (travaux habituels) ou tâches ménagères, l’invalidité est fixée selon la méthode dite mixte d'évaluation (art. 28a al. 3 LAI). Il faut ainsi déterminer, d'une part, l'invalidité dans les travaux habituels (ménage) par comparaison des activités et, d'autre part, l'invalidité dans une activité lucrative par comparaison des revenus. On pourra alors arrêter l'invalidité globale d'après le temps consacré à ces deux champs d'activités. Lorsqu’un assuré qui exerce une activité lucrative à temps partiel dépose une demande de prestations, l’OAI procède en principe à une enquête sur place pour recueillir différentes informations et apporter des renseignements à l’assuré (Circulaire sur l’invalidité et les rentes dans l’assurance-invalidité – CIRAI, valable à partir du 1er janvier 2022, ch. 3600 ss). La personne chargée de l'enquête doit indiquer les activités que la personne assurée ne peut plus accomplir, ou alors uniquement de manière très limitée, et depuis quand cette limitation est intervenue. En outre, elle donnera des renseignements sur l'ampleur des limitations liées à l'invalidité et examinera si la personne doit éventuellement consacrer plus de temps que d'ordinaire à l'accomplissement de ces travaux. Elle doit également fournir des informations concernant l'aide apportée à la personne assurée par des tiers (p. ex. parents, voisins, aides extérieures) dans l'accomplissement de ses activités (CIRAI, ch. 3614). De manière analogue à la jurisprudence sur la force probante des certificats médicaux (ATF</w:t>
      </w:r>
    </w:p>
    <w:p>
      <w:r>
        <w:t>- 11 - 125 V 351 consid. 3a), divers facteurs doivent être pris en considération pour déterminer la valeur probante d’un rapport d’enquête sur place : il est essentiel que le rapport ait été établi par une personne qualifiée ayant une connaissance de la situation locale et des atteintes et handicaps résultant des diagnostics médicaux. En outre, il s’agit de tenir compte des indications de l’assuré et d’inscrire dans le rapport les opinions divergentes des participants. Enfin, le texte du rapport doit être détaillé de manière plausible, fondée et adéquate en ce qui concerne les diverses limitations et doit correspondre aux indications relevées sur place. Si toutes ces conditions sont réunies, le rapport d’enquête a pleinement valeur de preuve. Lorsque le rapport constitue une base fiable de décision dans le sens défini ci-dessus, le juge ne s’interpose pas dans l’appréciation de l’auteur du rapport, sauf lorsqu’il existe des erreurs d’estimation que l’on peut clairement constater ou des indices laissant apparaître une inexactitude dans les résultats de l’enquête (p. ex. en raison de contradictions, erreurs manifestes ; arrêts du Tribunal fédéral 9C_406/2008 du 22 juillet 2008 consid. 4.2 et 9C_313/2007du 8 janvier 2008 consid. 4.1 ; ATF 128 V 93). Ce principe est dû notamment au fait que le professionnel ayant mené l’enquête est plus proche de la situation concrète des faits que ne l’est le tribunal compétent en cas de recours (VSI 2003 p. 218 consid. 2.3.2 ; ATF 128 V 93 consid. 4 et les références). En ce qui concerne l’évaluation du revenu sans invalidité, est déterminant le salaire que la personne assurée aurait, au degré de la vraisemblance prépondérante, effectivement gagné en tant que valide au début du droit à la rente au plus tôt. Ce revenu doit être déterminé aussi concrètement que possible. C’est en principe le dernier revenu touché, au besoin adapté au renchérissement et à l’évolution réelle des salaires, qui doit être retenu car c’est un fait d’expérience que, sans atteinte à la santé, l’activité antérieure aurait été poursuivie. Les exceptions à ce principe sont à établir au degré de la vraisemblance prépondérante (ATF 139 V 28 consid. 3.3.2, 134 V 322 consid. 4.1 et 129 V 222 consid. 4.3.1 ; arrêt du Tribunal fédéral 9C_413/2017 du 19 septembre 2017 consid. 3.2.1 et les références).</w:t>
      </w:r>
    </w:p>
    <w:p>
      <w:r>
        <w:rPr>
          <w:b/>
        </w:rPr>
        <w:t>E. 3.2.2</w:t>
      </w:r>
    </w:p>
    <w:p>
      <w:r>
        <w:t>En l’espèce, le recourant conteste l’application de la méthode mixte pour déterminer son taux d’invalidité et allègue qu’en réalité, sans ses problèmes de santé, il aurait travaillé à plein temps dans le domaine de la construction. A la lecture du dossier, force est de constater que l’argumentation de la recourante ne peut pas être suivie. En effet, il ressort du compte individuel que déjà en 2010, l’assuré avait cessé de travailler dans le domaine de la construction pour se contenter de son emploi de moniteur de ski. Depuis lors et jusqu’aux premiers problèmes thrombotiques</w:t>
      </w:r>
    </w:p>
    <w:p>
      <w:r>
        <w:t>- 12 - attestés au dossier en 2014, il n’a à aucun moment cherché à retrouver un emploi à temps plein. La recourante ne prétend, en outre, pas que l’enquêteur aurait mal interprété ses propos, voire menti. A cet égard, il est rappelé qu'il faut - selon la jurisprudence - accorder la préférence aux premières déclarations de l'assuré, données alors qu'il en ignorait peut-être les conséquences juridiques, les explications nouvelles pouvant être, consciemment ou non, le fruit de réflexions ultérieures (voir ATF 142 V 590 consid. 5.2, 121 V 45 consid. 2a ; arrêts du Tribunal fédéral 9C_664/2018 du 26 novembre 2018 consid. 6 ; 8C_238/2018 du 22 octobre 2018 consid. 6). En application de cette règle de preuve, l'hypothèse de la poursuite de l’activité de moniteur de ski à 7 % exercée par choix personnel, indépendamment de l'état de santé, doit ainsi être retenue. Il s’ensuit que c’est à juste titre que l’OAI a appliqué la méthode mixte.</w:t>
      </w:r>
    </w:p>
    <w:p>
      <w:r>
        <w:rPr>
          <w:b/>
        </w:rPr>
        <w:t>E. 3.3</w:t>
      </w:r>
    </w:p>
    <w:p>
      <w:r>
        <w:t>En l’absence de critiques concernant le taux d’empêchements au ménage, lequel s’avère pleinement justifié après vérification, il sied de confirmer le taux d’invalidité global de 32.65 %.</w:t>
      </w:r>
    </w:p>
    <w:p>
      <w:r>
        <w:rPr>
          <w:b/>
        </w:rPr>
        <w:t>E. 4</w:t>
      </w:r>
    </w:p>
    <w:p>
      <w:r>
        <w:t>Mal fondé, le recours est rejeté et la décision entreprise confirmée.</w:t>
      </w:r>
    </w:p>
    <w:p>
      <w:r>
        <w:rPr>
          <w:b/>
        </w:rPr>
        <w:t>E. 5.1</w:t>
      </w:r>
    </w:p>
    <w:p>
      <w:r>
        <w:t>Les frais, par 500 fr., sont mis à la charge de la recourante qui succombe (art. 69 al. 1bis LAI) et compensés avec l’avance effectuée.</w:t>
      </w:r>
    </w:p>
    <w:p>
      <w:r>
        <w:rPr>
          <w:b/>
        </w:rPr>
        <w:t>E. 5.2</w:t>
      </w:r>
    </w:p>
    <w:p>
      <w:r>
        <w:t>La recourante n’ayant pas eu gain de cause, aucun dépens ne lui est alloué (art. 61 let. g LPGA a contrario), ni d’ailleurs à l’OAI (art. 91 al. 3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